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8F" w:rsidRPr="009D46BC" w:rsidRDefault="0065418F" w:rsidP="0065418F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9D46BC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</w:rPr>
        <w:t>Доступ к информационной системе и информационно-телекоммуникационным сетям.</w:t>
      </w:r>
    </w:p>
    <w:p w:rsidR="0065418F" w:rsidRPr="009D46BC" w:rsidRDefault="0065418F" w:rsidP="0065418F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9D46BC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 Прямой доступ воспитанников к информационным системам и информационно - телекоммуникационным сетям не предусмотрен основной общеобразовательной программой Учреждения.</w:t>
      </w:r>
    </w:p>
    <w:p w:rsidR="0065418F" w:rsidRPr="009D46BC" w:rsidRDefault="0065418F" w:rsidP="0065418F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9D46BC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Инструкция для сотрудников о порядке действий при осуществлении контроля использования обучающимися сети Интернет - отсутствует, в связи с тем, что воспитанники Учреждения не имеют прямого доступа к сети Интернет.</w:t>
      </w:r>
    </w:p>
    <w:p w:rsidR="0065418F" w:rsidRPr="009D46BC" w:rsidRDefault="0065418F" w:rsidP="0065418F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9D46BC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С 1 сентября 2012 г. Вступил в силу федеральный закон РФ </w:t>
      </w:r>
      <w:hyperlink r:id="rId5" w:history="1">
        <w:r w:rsidRPr="009D46BC">
          <w:rPr>
            <w:rStyle w:val="a3"/>
            <w:rFonts w:ascii="Times New Roman" w:hAnsi="Times New Roman" w:cs="Times New Roman"/>
            <w:sz w:val="32"/>
            <w:szCs w:val="32"/>
          </w:rPr>
          <w:t>от 29.12.2010г. № 436 - ФЗ.</w:t>
        </w:r>
      </w:hyperlink>
      <w:r w:rsidRPr="009D46BC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"О защите детей от информации, причиняющей вред их здоровью и развитию", согласно которому содержание и художественное оформление информации, предназначенной для обучения детей в образовательных учреждениях, должны соответствовать содержанию и художественному оформлению информации для детей данного возраста. </w:t>
      </w:r>
    </w:p>
    <w:p w:rsidR="0065418F" w:rsidRPr="009D46BC" w:rsidRDefault="0065418F" w:rsidP="0065418F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9D46BC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</w:rPr>
        <w:t>В Учреждении имеется в наличии: </w:t>
      </w:r>
    </w:p>
    <w:p w:rsidR="0065418F" w:rsidRPr="009D46BC" w:rsidRDefault="0065418F" w:rsidP="0065418F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9D46BC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3 компьютера, 1 ноутбук, 2 из которых имеют выход в Интернет.</w:t>
      </w:r>
    </w:p>
    <w:p w:rsidR="0065418F" w:rsidRPr="009D46BC" w:rsidRDefault="0065418F" w:rsidP="0065418F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9D46BC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    Детский сад подключен к сети Интернет ОАО «</w:t>
      </w:r>
      <w:proofErr w:type="spellStart"/>
      <w:r w:rsidRPr="009D46BC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Локтелеком</w:t>
      </w:r>
      <w:proofErr w:type="spellEnd"/>
      <w:r w:rsidRPr="009D46BC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», имеется интернет - сайт Учреждения (http://dou75.ru/78/), организована работа электронной почты ДОУ (</w:t>
      </w:r>
      <w:proofErr w:type="spellStart"/>
      <w:r w:rsidRPr="009D46BC">
        <w:rPr>
          <w:rFonts w:ascii="Times New Roman" w:hAnsi="Times New Roman" w:cs="Times New Roman"/>
          <w:color w:val="1F4E79" w:themeColor="accent1" w:themeShade="80"/>
          <w:sz w:val="32"/>
          <w:szCs w:val="32"/>
          <w:lang w:val="en-US"/>
        </w:rPr>
        <w:t>det</w:t>
      </w:r>
      <w:proofErr w:type="spellEnd"/>
      <w:r w:rsidRPr="009D46BC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-</w:t>
      </w:r>
      <w:r w:rsidRPr="009D46BC">
        <w:rPr>
          <w:rFonts w:ascii="Times New Roman" w:hAnsi="Times New Roman" w:cs="Times New Roman"/>
          <w:color w:val="1F4E79" w:themeColor="accent1" w:themeShade="80"/>
          <w:sz w:val="32"/>
          <w:szCs w:val="32"/>
          <w:lang w:val="en-US"/>
        </w:rPr>
        <w:t>sad</w:t>
      </w:r>
      <w:r w:rsidRPr="009D46BC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78@</w:t>
      </w:r>
      <w:r w:rsidRPr="009D46BC">
        <w:rPr>
          <w:rFonts w:ascii="Times New Roman" w:hAnsi="Times New Roman" w:cs="Times New Roman"/>
          <w:color w:val="1F4E79" w:themeColor="accent1" w:themeShade="80"/>
          <w:sz w:val="32"/>
          <w:szCs w:val="32"/>
          <w:lang w:val="en-US"/>
        </w:rPr>
        <w:t>mail</w:t>
      </w:r>
      <w:r w:rsidRPr="009D46BC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.</w:t>
      </w:r>
      <w:proofErr w:type="spellStart"/>
      <w:r w:rsidRPr="009D46BC">
        <w:rPr>
          <w:rFonts w:ascii="Times New Roman" w:hAnsi="Times New Roman" w:cs="Times New Roman"/>
          <w:color w:val="1F4E79" w:themeColor="accent1" w:themeShade="80"/>
          <w:sz w:val="32"/>
          <w:szCs w:val="32"/>
          <w:lang w:val="en-US"/>
        </w:rPr>
        <w:t>ru</w:t>
      </w:r>
      <w:proofErr w:type="spellEnd"/>
      <w:r w:rsidRPr="009D46BC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)  </w:t>
      </w:r>
    </w:p>
    <w:p w:rsidR="0065418F" w:rsidRPr="009D46BC" w:rsidRDefault="0065418F" w:rsidP="0065418F">
      <w:pPr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9D46BC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проводной интернет на </w:t>
      </w:r>
      <w:r w:rsidRPr="009D46BC">
        <w:rPr>
          <w:rFonts w:ascii="Times New Roman" w:hAnsi="Times New Roman" w:cs="Times New Roman"/>
          <w:color w:val="1F4E79" w:themeColor="accent1" w:themeShade="80"/>
          <w:sz w:val="32"/>
          <w:szCs w:val="32"/>
          <w:lang w:val="en-US"/>
        </w:rPr>
        <w:t>3</w:t>
      </w:r>
      <w:r w:rsidRPr="009D46BC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точки</w:t>
      </w:r>
    </w:p>
    <w:p w:rsidR="0065418F" w:rsidRPr="009D46BC" w:rsidRDefault="0065418F" w:rsidP="0065418F">
      <w:pPr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9D46BC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способ подключения к сети Интернет - модем</w:t>
      </w:r>
    </w:p>
    <w:p w:rsidR="0065418F" w:rsidRPr="009D46BC" w:rsidRDefault="0065418F" w:rsidP="0065418F">
      <w:pPr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9D46BC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lastRenderedPageBreak/>
        <w:t>количество мест, подключенных к СМЭВ (система межведомственного электронного взаимодействия) - 0</w:t>
      </w:r>
    </w:p>
    <w:p w:rsidR="0065418F" w:rsidRPr="009D46BC" w:rsidRDefault="0065418F" w:rsidP="0065418F">
      <w:pPr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9D46BC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скорость доступа к сети Интернет - 1 Мбит</w:t>
      </w:r>
      <w:r w:rsidRPr="009D46BC"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</w:rPr>
        <w:t xml:space="preserve"> Описание информационной системы образовательной организации</w:t>
      </w:r>
    </w:p>
    <w:p w:rsidR="0065418F" w:rsidRPr="009D46BC" w:rsidRDefault="0065418F" w:rsidP="0065418F">
      <w:pPr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</w:rPr>
      </w:pPr>
    </w:p>
    <w:p w:rsidR="0065418F" w:rsidRPr="009D46BC" w:rsidRDefault="0065418F" w:rsidP="0065418F">
      <w:pPr>
        <w:rPr>
          <w:rFonts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</w:rPr>
      </w:pPr>
    </w:p>
    <w:p w:rsidR="0065418F" w:rsidRPr="009D46BC" w:rsidRDefault="0065418F" w:rsidP="0065418F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tbl>
      <w:tblPr>
        <w:tblW w:w="149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BD5"/>
        <w:tblLook w:val="04A0" w:firstRow="1" w:lastRow="0" w:firstColumn="1" w:lastColumn="0" w:noHBand="0" w:noVBand="1"/>
      </w:tblPr>
      <w:tblGrid>
        <w:gridCol w:w="3833"/>
        <w:gridCol w:w="4523"/>
        <w:gridCol w:w="2004"/>
        <w:gridCol w:w="2416"/>
        <w:gridCol w:w="2191"/>
      </w:tblGrid>
      <w:tr w:rsidR="0065418F" w:rsidRPr="009D46BC" w:rsidTr="00413A52">
        <w:trPr>
          <w:trHeight w:val="9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9D46BC"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1" w:themeShade="80"/>
                <w:sz w:val="32"/>
                <w:szCs w:val="32"/>
              </w:rPr>
              <w:t>Наименование ИС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9D46BC"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1" w:themeShade="80"/>
                <w:sz w:val="32"/>
                <w:szCs w:val="32"/>
              </w:rPr>
              <w:t> Назначение ИС 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9D46BC"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1" w:themeShade="80"/>
                <w:sz w:val="32"/>
                <w:szCs w:val="32"/>
              </w:rPr>
              <w:t> Метод доступа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9D46BC"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1" w:themeShade="80"/>
                <w:sz w:val="32"/>
                <w:szCs w:val="32"/>
              </w:rPr>
              <w:t> 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proofErr w:type="spellStart"/>
            <w:r w:rsidRPr="009D46BC"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1" w:themeShade="80"/>
                <w:sz w:val="32"/>
                <w:szCs w:val="32"/>
              </w:rPr>
              <w:t>Ответсвенные</w:t>
            </w:r>
            <w:proofErr w:type="spellEnd"/>
          </w:p>
        </w:tc>
      </w:tr>
      <w:tr w:rsidR="0065418F" w:rsidRPr="009D46BC" w:rsidTr="00413A52">
        <w:trPr>
          <w:trHeight w:val="21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1С: предприятие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Система программ для автоматизации различных областей экономической деятельности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 Логин, пароль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 Муниципальный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proofErr w:type="spellStart"/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Плоткина</w:t>
            </w:r>
            <w:proofErr w:type="spellEnd"/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 xml:space="preserve"> Е.В.</w:t>
            </w:r>
          </w:p>
        </w:tc>
      </w:tr>
      <w:tr w:rsidR="0065418F" w:rsidRPr="009D46BC" w:rsidTr="00413A52">
        <w:trPr>
          <w:trHeight w:val="48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lastRenderedPageBreak/>
              <w:t>Официальный сайт Российской Федерации в сети Интернет </w:t>
            </w:r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br/>
              <w:t>для размещения информации о размещении заказов на поставки товаров, выполнение работ, оказание услуг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Размещение информации о размещении заказов на поставки товаров, выполнение работ, оказание услуг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Логин, пароль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 Федеральный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proofErr w:type="spellStart"/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Плоткина</w:t>
            </w:r>
            <w:proofErr w:type="spellEnd"/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 xml:space="preserve"> Е.В.</w:t>
            </w:r>
          </w:p>
        </w:tc>
      </w:tr>
      <w:tr w:rsidR="0065418F" w:rsidRPr="009D46BC" w:rsidTr="00413A52">
        <w:trPr>
          <w:trHeight w:val="9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Официальный сайт для размещения информации о муниципальных учреждениях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Официальный сайт создан с целью повышения открытости и доступности информации о государственных (муниципальных) учреждениях, а также об их деятельности и имуществе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Логин, пароль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 Муниципальный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 </w:t>
            </w:r>
            <w:proofErr w:type="spellStart"/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Плоткина</w:t>
            </w:r>
            <w:proofErr w:type="spellEnd"/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 xml:space="preserve"> Е.В.</w:t>
            </w:r>
          </w:p>
        </w:tc>
      </w:tr>
      <w:tr w:rsidR="0065418F" w:rsidRPr="009D46BC" w:rsidTr="00413A52">
        <w:trPr>
          <w:trHeight w:val="21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lastRenderedPageBreak/>
              <w:t>Сетевой город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Система мониторинга контингента образовательной организации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 Логин, пароль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 Муниципальный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418F" w:rsidRPr="009D46BC" w:rsidRDefault="0065418F" w:rsidP="00413A52">
            <w:pPr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 </w:t>
            </w:r>
            <w:proofErr w:type="spellStart"/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Плоткина</w:t>
            </w:r>
            <w:proofErr w:type="spellEnd"/>
            <w:r w:rsidRPr="009D46BC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 xml:space="preserve"> Е.В.</w:t>
            </w:r>
          </w:p>
        </w:tc>
      </w:tr>
    </w:tbl>
    <w:p w:rsidR="0065418F" w:rsidRPr="009D46BC" w:rsidRDefault="0065418F" w:rsidP="0065418F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65418F" w:rsidRPr="009D46BC" w:rsidRDefault="0065418F" w:rsidP="0065418F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65418F" w:rsidRPr="009D46BC" w:rsidRDefault="0065418F" w:rsidP="0065418F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65418F" w:rsidRPr="009D46BC" w:rsidRDefault="0065418F" w:rsidP="0065418F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9D46BC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Технические средства обучения коллективного и индивидуального пользования детей-инвалидов и воспитанников с ОВЗ отсутствуют.</w:t>
      </w:r>
    </w:p>
    <w:p w:rsidR="0065418F" w:rsidRPr="009D46BC" w:rsidRDefault="0065418F" w:rsidP="0065418F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9D46BC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 </w:t>
      </w:r>
    </w:p>
    <w:p w:rsidR="0065418F" w:rsidRPr="009D46BC" w:rsidRDefault="0065418F" w:rsidP="0065418F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DC5748" w:rsidRDefault="0065418F">
      <w:bookmarkStart w:id="0" w:name="_GoBack"/>
      <w:bookmarkEnd w:id="0"/>
    </w:p>
    <w:sectPr w:rsidR="00DC5748" w:rsidSect="006541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37C14"/>
    <w:multiLevelType w:val="multilevel"/>
    <w:tmpl w:val="B57C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36"/>
    <w:rsid w:val="00343C1A"/>
    <w:rsid w:val="0065418F"/>
    <w:rsid w:val="009E105F"/>
    <w:rsid w:val="00C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BF9B7-5AB6-455B-914A-1836F3DF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0/12/31/deti-inform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2017-09-08T01:06:00Z</dcterms:created>
  <dcterms:modified xsi:type="dcterms:W3CDTF">2017-09-08T01:06:00Z</dcterms:modified>
</cp:coreProperties>
</file>